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framePr/>
      </w:pPr>
      <w:r>
        <w:t>DB</w:t>
      </w:r>
      <w:bookmarkStart w:id="0" w:name="c3"/>
      <w:r>
        <w:rPr>
          <w:rFonts w:hint="eastAsia"/>
        </w:rPr>
        <w:t>S</w:t>
      </w:r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63</w:t>
      </w:r>
      <w:r>
        <w:fldChar w:fldCharType="end"/>
      </w:r>
      <w:bookmarkEnd w:id="0"/>
    </w:p>
    <w:p>
      <w:pPr>
        <w:pStyle w:val="105"/>
        <w:framePr/>
      </w:pPr>
      <w:bookmarkStart w:id="1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青海省</w:t>
      </w:r>
      <w:r>
        <w:fldChar w:fldCharType="end"/>
      </w:r>
      <w:bookmarkEnd w:id="1"/>
      <w:r>
        <w:rPr>
          <w:rFonts w:hint="eastAsia"/>
        </w:rPr>
        <w:t>地方标准</w:t>
      </w:r>
    </w:p>
    <w:p>
      <w:pPr>
        <w:pStyle w:val="42"/>
        <w:framePr/>
        <w:rPr>
          <w:rFonts w:hAnsi="黑体"/>
        </w:rPr>
      </w:pPr>
      <w:r>
        <w:rPr>
          <w:rFonts w:ascii="Times New Roman"/>
        </w:rPr>
        <w:t>DB</w:t>
      </w:r>
      <w:bookmarkStart w:id="2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S63</w:t>
      </w:r>
      <w:r>
        <w:rPr>
          <w:rFonts w:hAnsi="黑体"/>
        </w:rPr>
        <w:fldChar w:fldCharType="end"/>
      </w:r>
      <w:bookmarkEnd w:id="2"/>
      <w:r>
        <w:rPr>
          <w:rFonts w:hAnsi="黑体"/>
        </w:rPr>
        <w:t xml:space="preserve">/ </w:t>
      </w:r>
      <w:bookmarkStart w:id="3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0001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r>
        <w:rPr>
          <w:rFonts w:hint="eastAsia" w:hAnsi="黑体"/>
        </w:rPr>
        <w:t>2019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1"/>
              <w:framePr/>
            </w:pPr>
            <w:r>
              <w:rPr>
                <w:rFonts w:hint="eastAsia"/>
              </w:rPr>
              <w:t>代替DBS63/ 0001-2017</w:t>
            </w:r>
          </w:p>
        </w:tc>
      </w:tr>
    </w:tbl>
    <w:p>
      <w:pPr>
        <w:pStyle w:val="42"/>
        <w:framePr/>
        <w:rPr>
          <w:rFonts w:hAnsi="黑体"/>
        </w:rPr>
      </w:pPr>
    </w:p>
    <w:p>
      <w:pPr>
        <w:pStyle w:val="42"/>
        <w:framePr/>
        <w:rPr>
          <w:rFonts w:hAnsi="黑体"/>
        </w:rPr>
      </w:pPr>
    </w:p>
    <w:p>
      <w:pPr>
        <w:pStyle w:val="73"/>
        <w:framePr/>
        <w:rPr>
          <w:rFonts w:hint="eastAsia"/>
        </w:rPr>
      </w:pPr>
      <w:bookmarkStart w:id="4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食品安全地方标准</w:t>
      </w:r>
    </w:p>
    <w:p>
      <w:pPr>
        <w:pStyle w:val="73"/>
        <w:framePr/>
      </w:pPr>
      <w:r>
        <w:rPr>
          <w:rFonts w:hint="eastAsia"/>
        </w:rPr>
        <w:t>茶卡盐</w:t>
      </w:r>
      <w:r>
        <w:fldChar w:fldCharType="end"/>
      </w:r>
      <w:bookmarkEnd w:id="4"/>
    </w:p>
    <w:p>
      <w:pPr>
        <w:pStyle w:val="74"/>
        <w:framePr/>
      </w:pPr>
      <w:bookmarkStart w:id="5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5"/>
    </w:p>
    <w:p>
      <w:pPr>
        <w:pStyle w:val="75"/>
        <w:framePr/>
      </w:pPr>
      <w:bookmarkStart w:id="6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6"/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50331545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1024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9f34NcAAAALAQAADwAAAAAAAAAB&#10;ACAAAAAiAAAAZHJzL2Rvd25yZXYueG1sUEsBAhQAFAAAAAgAh07iQAWhuqafAQAAWQMAAA4AAAAA&#10;AAAAAQAgAAAAJgEAAGRycy9lMm9Eb2MueG1sUEsFBgAAAAAGAAYAWQEAADc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bookmarkStart w:id="9" w:name="_GoBack"/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7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</w:tbl>
    <w:p>
      <w:pPr>
        <w:pStyle w:val="126"/>
        <w:framePr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07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05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102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YdrPNYAAAAL&#10;AQAADwAAAAAAAAABACAAAAAiAAAAZHJzL2Rvd25yZXYueG1sUEsBAhQAFAAAAAgAh07iQAf/n23l&#10;AQAA3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  <w:framePr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10</w:t>
      </w:r>
      <w:r>
        <w:t xml:space="preserve"> </w:t>
      </w:r>
      <w:r>
        <w:rPr>
          <w:rFonts w:ascii="黑体"/>
        </w:rPr>
        <w:t>-</w:t>
      </w:r>
      <w:r>
        <w:rPr>
          <w:rFonts w:hint="eastAsia" w:ascii="黑体"/>
        </w:rPr>
        <w:t>05</w:t>
      </w:r>
      <w:r>
        <w:rPr>
          <w:rFonts w:hint="eastAsia"/>
        </w:rPr>
        <w:t>实施</w:t>
      </w:r>
    </w:p>
    <w:p>
      <w:pPr>
        <w:pStyle w:val="106"/>
        <w:framePr/>
      </w:pPr>
      <w:bookmarkStart w:id="8" w:name="fm"/>
      <w:r>
        <w:rPr>
          <w:w w:val="100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4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1024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bXu1tkAAAANAQAADwAAAAAA&#10;AAABACAAAAAiAAAAZHJzL2Rvd25yZXYueG1sUEsBAhQAFAAAAAgAh07iQFG0h8qgAQAAWQMAAA4A&#10;AAAAAAAAAQAgAAAAKAEAAGRycy9lMm9Eb2MueG1sUEsFBgAAAAAGAAYAWQEAAD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5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1024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8mKEdoAAAAPAQAADwAAAAAA&#10;AAABACAAAAAiAAAAZHJzL2Rvd25yZXYueG1sUEsBAhQAFAAAAAgAh07iQBIoxT+fAQAAWQMAAA4A&#10;AAAAAAAAAQAgAAAAKQEAAGRycy9lMm9Eb2MueG1sUEsFBgAAAAAGAAYAWQEAAD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36.6pt;margin-top:-552.85pt;height:0pt;width:481.9pt;z-index:1024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yWRoNgA&#10;AAAPAQAADwAAAAAAAAABACAAAAAiAAAAZHJzL2Rvd25yZXYueG1sUEsBAhQAFAAAAAgAh07iQDFF&#10;+/nmAQAA3A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8"/>
      <w:r>
        <w:rPr>
          <w:rFonts w:hint="eastAsia"/>
        </w:rPr>
        <w:t>青海省卫生健康委员会</w:t>
      </w:r>
      <w:r>
        <w:rPr>
          <w:rFonts w:hAnsi="黑体"/>
        </w:rPr>
        <w:t>   </w:t>
      </w:r>
      <w:r>
        <w:rPr>
          <w:rStyle w:val="68"/>
          <w:rFonts w:hint="eastAsia"/>
        </w:rPr>
        <w:t>发布</w:t>
      </w:r>
    </w:p>
    <w:p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8"/>
        </w:numPr>
        <w:shd w:val="clear" w:color="FFFFFF" w:fill="FFFFFF"/>
        <w:spacing w:before="640" w:after="560"/>
        <w:jc w:val="center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前   </w:t>
      </w:r>
      <w:r>
        <w:rPr>
          <w:rFonts w:hint="eastAsia" w:eastAsia="黑体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言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本标准依据 GB/T 1.1</w:t>
      </w:r>
      <w:r>
        <w:rPr>
          <w:rFonts w:hint="eastAsia" w:ascii="宋体" w:hAnsi="宋体"/>
          <w:kern w:val="0"/>
          <w:szCs w:val="21"/>
        </w:rPr>
        <w:t>―</w:t>
      </w:r>
      <w:r>
        <w:rPr>
          <w:rFonts w:ascii="宋体" w:hAnsi="宋体"/>
          <w:kern w:val="0"/>
          <w:szCs w:val="21"/>
        </w:rPr>
        <w:t>2009</w:t>
      </w:r>
      <w:r>
        <w:rPr>
          <w:rFonts w:hint="eastAsia" w:ascii="宋体" w:hAnsi="宋体"/>
          <w:kern w:val="0"/>
          <w:szCs w:val="21"/>
        </w:rPr>
        <w:t>《标准化工作导则 第1部分：标准的结构和编写规则》</w:t>
      </w:r>
      <w:r>
        <w:rPr>
          <w:rFonts w:ascii="宋体" w:hAnsi="宋体"/>
          <w:kern w:val="0"/>
          <w:szCs w:val="21"/>
        </w:rPr>
        <w:t>编写起草。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本标准代替DB</w:t>
      </w:r>
      <w:r>
        <w:rPr>
          <w:rFonts w:hint="eastAsia" w:ascii="宋体" w:hAnsi="宋体"/>
          <w:kern w:val="0"/>
          <w:szCs w:val="21"/>
        </w:rPr>
        <w:t>S</w:t>
      </w:r>
      <w:r>
        <w:rPr>
          <w:rFonts w:ascii="宋体" w:hAnsi="宋体"/>
          <w:kern w:val="0"/>
          <w:szCs w:val="21"/>
        </w:rPr>
        <w:t>63/</w:t>
      </w:r>
      <w:r>
        <w:rPr>
          <w:rFonts w:hint="eastAsia" w:ascii="宋体" w:hAnsi="宋体"/>
          <w:kern w:val="0"/>
          <w:szCs w:val="21"/>
        </w:rPr>
        <w:t>0001―</w:t>
      </w:r>
      <w:r>
        <w:rPr>
          <w:rFonts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017</w:t>
      </w:r>
      <w:r>
        <w:rPr>
          <w:rFonts w:ascii="宋体" w:hAnsi="宋体"/>
          <w:kern w:val="0"/>
          <w:szCs w:val="21"/>
        </w:rPr>
        <w:t>《茶卡盐》。与DB</w:t>
      </w:r>
      <w:r>
        <w:rPr>
          <w:rFonts w:hint="eastAsia" w:ascii="宋体" w:hAnsi="宋体"/>
          <w:kern w:val="0"/>
          <w:szCs w:val="21"/>
        </w:rPr>
        <w:t>S</w:t>
      </w:r>
      <w:r>
        <w:rPr>
          <w:rFonts w:ascii="宋体" w:hAnsi="宋体"/>
          <w:kern w:val="0"/>
          <w:szCs w:val="21"/>
        </w:rPr>
        <w:t>63/</w:t>
      </w:r>
      <w:r>
        <w:rPr>
          <w:rFonts w:hint="eastAsia" w:ascii="宋体" w:hAnsi="宋体"/>
          <w:kern w:val="0"/>
          <w:szCs w:val="21"/>
        </w:rPr>
        <w:t>0001―</w:t>
      </w:r>
      <w:r>
        <w:rPr>
          <w:rFonts w:ascii="宋体" w:hAnsi="宋体"/>
          <w:kern w:val="0"/>
          <w:szCs w:val="21"/>
        </w:rPr>
        <w:t>20</w:t>
      </w:r>
      <w:r>
        <w:rPr>
          <w:rFonts w:hint="eastAsia" w:ascii="宋体" w:hAnsi="宋体"/>
          <w:kern w:val="0"/>
          <w:szCs w:val="21"/>
        </w:rPr>
        <w:t>17相比</w:t>
      </w:r>
      <w:r>
        <w:rPr>
          <w:rFonts w:ascii="宋体" w:hAnsi="宋体"/>
          <w:kern w:val="0"/>
          <w:szCs w:val="21"/>
        </w:rPr>
        <w:t>，除编辑性修改外</w:t>
      </w:r>
      <w:r>
        <w:rPr>
          <w:rFonts w:hint="eastAsia" w:ascii="宋体" w:hAnsi="宋体"/>
          <w:kern w:val="0"/>
          <w:szCs w:val="21"/>
        </w:rPr>
        <w:t>,</w:t>
      </w:r>
      <w:r>
        <w:rPr>
          <w:rFonts w:ascii="宋体" w:hAnsi="宋体"/>
          <w:kern w:val="0"/>
          <w:szCs w:val="21"/>
        </w:rPr>
        <w:t>主要变化如下：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——对适用范围进行了修改</w:t>
      </w:r>
      <w:r>
        <w:rPr>
          <w:rFonts w:hint="eastAsia" w:ascii="宋体" w:hAnsi="宋体"/>
          <w:kern w:val="0"/>
          <w:szCs w:val="21"/>
        </w:rPr>
        <w:t>，增加了茶卡盐种类范围</w:t>
      </w:r>
      <w:r>
        <w:rPr>
          <w:rFonts w:ascii="宋体" w:hAnsi="宋体"/>
          <w:kern w:val="0"/>
          <w:szCs w:val="21"/>
        </w:rPr>
        <w:t>；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——</w:t>
      </w:r>
      <w:r>
        <w:rPr>
          <w:rFonts w:hint="eastAsia" w:ascii="宋体" w:hAnsi="宋体"/>
          <w:kern w:val="0"/>
          <w:szCs w:val="21"/>
        </w:rPr>
        <w:t>修改</w:t>
      </w:r>
      <w:r>
        <w:rPr>
          <w:rFonts w:ascii="宋体" w:hAnsi="宋体"/>
          <w:kern w:val="0"/>
          <w:szCs w:val="21"/>
        </w:rPr>
        <w:t>了</w:t>
      </w:r>
      <w:r>
        <w:rPr>
          <w:rFonts w:hint="eastAsia" w:ascii="宋体" w:hAnsi="宋体"/>
          <w:kern w:val="0"/>
          <w:szCs w:val="21"/>
        </w:rPr>
        <w:t>白度；</w:t>
      </w:r>
      <w:r>
        <w:rPr>
          <w:rFonts w:ascii="宋体" w:hAnsi="宋体"/>
          <w:kern w:val="0"/>
          <w:szCs w:val="21"/>
        </w:rPr>
        <w:t xml:space="preserve"> 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——</w:t>
      </w:r>
      <w:r>
        <w:rPr>
          <w:rFonts w:hint="eastAsia" w:ascii="宋体" w:hAnsi="宋体"/>
          <w:kern w:val="0"/>
          <w:szCs w:val="21"/>
        </w:rPr>
        <w:t>修改</w:t>
      </w:r>
      <w:r>
        <w:rPr>
          <w:rFonts w:ascii="宋体" w:hAnsi="宋体"/>
          <w:kern w:val="0"/>
          <w:szCs w:val="21"/>
        </w:rPr>
        <w:t>了</w:t>
      </w:r>
      <w:r>
        <w:rPr>
          <w:rFonts w:hint="eastAsia" w:ascii="宋体" w:hAnsi="宋体"/>
          <w:kern w:val="0"/>
          <w:szCs w:val="21"/>
        </w:rPr>
        <w:t>氯化钾指标；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——</w:t>
      </w:r>
      <w:r>
        <w:rPr>
          <w:rFonts w:hint="eastAsia" w:ascii="宋体" w:hAnsi="宋体"/>
          <w:kern w:val="0"/>
          <w:szCs w:val="21"/>
        </w:rPr>
        <w:t>修改</w:t>
      </w:r>
      <w:r>
        <w:rPr>
          <w:rFonts w:ascii="宋体" w:hAnsi="宋体"/>
          <w:kern w:val="0"/>
          <w:szCs w:val="21"/>
        </w:rPr>
        <w:t>了</w:t>
      </w:r>
      <w:r>
        <w:rPr>
          <w:rFonts w:hint="eastAsia" w:ascii="宋体" w:hAnsi="宋体"/>
          <w:kern w:val="0"/>
          <w:szCs w:val="21"/>
        </w:rPr>
        <w:t>抗结剂指标；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——</w:t>
      </w:r>
      <w:r>
        <w:rPr>
          <w:rFonts w:hint="eastAsia" w:ascii="宋体" w:hAnsi="宋体"/>
          <w:kern w:val="0"/>
          <w:szCs w:val="21"/>
        </w:rPr>
        <w:t>删除</w:t>
      </w:r>
      <w:r>
        <w:rPr>
          <w:rFonts w:ascii="宋体" w:hAnsi="宋体"/>
          <w:kern w:val="0"/>
          <w:szCs w:val="21"/>
        </w:rPr>
        <w:t>了</w:t>
      </w:r>
      <w:r>
        <w:rPr>
          <w:rFonts w:hint="eastAsia" w:ascii="宋体" w:hAnsi="宋体"/>
          <w:kern w:val="0"/>
          <w:szCs w:val="21"/>
        </w:rPr>
        <w:t>污染物限量指标中砷含量。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本标准由青海省卫生</w:t>
      </w:r>
      <w:r>
        <w:rPr>
          <w:rFonts w:hint="eastAsia" w:ascii="宋体" w:hAnsi="宋体"/>
          <w:kern w:val="0"/>
          <w:szCs w:val="21"/>
        </w:rPr>
        <w:t>健康</w:t>
      </w:r>
      <w:r>
        <w:rPr>
          <w:rFonts w:ascii="宋体" w:hAnsi="宋体"/>
          <w:kern w:val="0"/>
          <w:szCs w:val="21"/>
        </w:rPr>
        <w:t>委员会提出并归口。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本标准起草单位：青海省盐业股份有限公司</w:t>
      </w:r>
    </w:p>
    <w:p>
      <w:pPr>
        <w:widowControl/>
        <w:autoSpaceDE w:val="0"/>
        <w:autoSpaceDN w:val="0"/>
        <w:spacing w:line="276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本标准主要起草人：</w:t>
      </w:r>
      <w:r>
        <w:rPr>
          <w:rFonts w:hint="eastAsia" w:ascii="宋体" w:hAnsi="宋体"/>
          <w:kern w:val="0"/>
          <w:szCs w:val="21"/>
        </w:rPr>
        <w:t xml:space="preserve"> 王福花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 xml:space="preserve"> 晁忠德  谭生禄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本标准所代替标准的历次版本发布情况为：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——</w:t>
      </w:r>
      <w:r>
        <w:rPr>
          <w:rFonts w:ascii="宋体" w:hAnsi="宋体"/>
          <w:kern w:val="0"/>
          <w:szCs w:val="21"/>
        </w:rPr>
        <w:t>DB</w:t>
      </w:r>
      <w:r>
        <w:rPr>
          <w:rFonts w:hint="eastAsia" w:ascii="宋体" w:hAnsi="宋体"/>
          <w:kern w:val="0"/>
          <w:szCs w:val="21"/>
        </w:rPr>
        <w:t>S</w:t>
      </w:r>
      <w:r>
        <w:rPr>
          <w:rFonts w:ascii="宋体" w:hAnsi="宋体"/>
          <w:kern w:val="0"/>
          <w:szCs w:val="21"/>
        </w:rPr>
        <w:t>63/</w:t>
      </w:r>
      <w:r>
        <w:rPr>
          <w:rFonts w:hint="eastAsia" w:ascii="宋体" w:hAnsi="宋体"/>
          <w:kern w:val="0"/>
          <w:szCs w:val="21"/>
        </w:rPr>
        <w:t>0001―</w:t>
      </w:r>
      <w:r>
        <w:rPr>
          <w:rFonts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017。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jc w:val="right"/>
        <w:rPr>
          <w:rFonts w:ascii="宋体" w:hAnsi="宋体"/>
          <w:szCs w:val="21"/>
        </w:rPr>
      </w:pPr>
    </w:p>
    <w:p>
      <w:pPr>
        <w:pStyle w:val="45"/>
        <w:rPr>
          <w:rFonts w:hint="eastAsia"/>
        </w:rPr>
      </w:pPr>
      <w:r>
        <w:rPr>
          <w:rFonts w:hint="eastAsia"/>
        </w:rPr>
        <w:t>食品安全地方标准茶卡盐</w:t>
      </w:r>
    </w:p>
    <w:p>
      <w:pPr>
        <w:pStyle w:val="40"/>
        <w:rPr>
          <w:rFonts w:hint="eastAsia"/>
        </w:rPr>
      </w:pPr>
      <w:r>
        <w:rPr>
          <w:rFonts w:hint="eastAsia"/>
        </w:rPr>
        <w:t>范围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本标准规定了茶卡盐的术语和定义、要求、试验方法、检验规则、判定规则、标签、包装、运输和贮存。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本标准适用于以茶卡盐湖、柯柯盐湖原生盐或日晒盐为原料加工制成的食用盐。茶卡盐包括：冰晶大青盐、雪晶大青盐、藏青盐、天然湖盐、低钠盐、海藻碘盐、炖肉盐、泡菜盐、粉碎洗涤盐、腌制盐、精制湖盐、日晒盐、大青盐（研磨瓶）、粉精湖盐、原生湖盐等系列产品。</w:t>
      </w:r>
    </w:p>
    <w:p>
      <w:pPr>
        <w:pStyle w:val="40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2721 食品安全国家标准  食用盐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2760 食品安全国家标准 食品添加剂使用标准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2762 食品安全国家标准 食品中污染物限量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5009.12食品安全国家标准 食品中铅的测定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5009.15 食品安全国家标准 食品中镉的测定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5009.17 食品安全国家标准 食品中总汞及有机汞的测定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7718 食品安全国家标准 预包装食品标签通则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14880 食品安全国家标准 食品营养强化剂使用标准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26878 食品安全国家标准 食用盐碘含量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 28050 食品安全国家标准 预包装食品营养标签通则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5461 食用盐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8618 制盐工业主要产品取样方法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13025.1 制盐工业通用试验方法 粒度的测定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13025.2 制盐工业通用试验方法 白度的测定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13025.3 制盐工业通用试验方法 水分的测定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13025.4 制盐工业通用试验方法 水不溶物的测定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13025.5 制盐工业通用试验方法 氯离子的测定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13025.6 制盐工业通用试验方法 钙和镁的测定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13025.7 制盐工业通用试验方法 碘的测定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13025.8 制盐工业通用试验方法 硫酸根的测定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13025.9 制盐工业通用试验方法 铅的测定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13025.10 制盐工业通用试验方法 亚铁氰根的测定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13025.13 制盐工业通用试验方法 砷的测定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GB/T 28118 食品包装用塑料与铝箔复合膜、袋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QB/T 2019 低钠盐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JJF 1070 定量包装商品净含量计量检验规则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国家质量监督检验检疫总局[2005]第75号令《定量包装商品计量监督管理办法》</w:t>
      </w:r>
    </w:p>
    <w:p>
      <w:pPr>
        <w:pStyle w:val="40"/>
        <w:rPr>
          <w:rFonts w:hint="eastAsia"/>
        </w:rPr>
      </w:pPr>
      <w:r>
        <w:rPr>
          <w:rFonts w:hint="eastAsia"/>
        </w:rPr>
        <w:t>术语和定义</w:t>
      </w:r>
    </w:p>
    <w:p>
      <w:pPr>
        <w:spacing w:line="480" w:lineRule="auto"/>
        <w:rPr>
          <w:rFonts w:ascii="黑体" w:eastAsia="黑体"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 xml:space="preserve">3.1  </w:t>
      </w:r>
    </w:p>
    <w:p>
      <w:pPr>
        <w:spacing w:line="240" w:lineRule="atLeast"/>
        <w:ind w:firstLine="420" w:firstLineChars="200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>茶卡盐</w:t>
      </w:r>
      <w:r>
        <w:rPr>
          <w:rFonts w:hint="eastAsia" w:ascii="黑体" w:eastAsia="黑体"/>
          <w:bCs/>
          <w:color w:val="111111"/>
          <w:kern w:val="36"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茶卡盐是以茶卡盐湖、柯柯盐湖原生盐或日晒盐为原料，并在本地区按照特定工艺生产和加工的食用盐产品。</w:t>
      </w:r>
    </w:p>
    <w:p>
      <w:pPr>
        <w:spacing w:line="480" w:lineRule="auto"/>
        <w:rPr>
          <w:rFonts w:ascii="黑体" w:eastAsia="黑体"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 xml:space="preserve">3.2  </w:t>
      </w:r>
    </w:p>
    <w:p>
      <w:pPr>
        <w:spacing w:line="240" w:lineRule="atLeast"/>
        <w:ind w:firstLine="420" w:firstLineChars="200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>原生盐</w:t>
      </w:r>
      <w:r>
        <w:rPr>
          <w:rFonts w:hint="eastAsia" w:ascii="黑体" w:eastAsia="黑体"/>
          <w:bCs/>
          <w:color w:val="111111"/>
          <w:kern w:val="36"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由茶卡盐湖、柯柯盐湖中采出直接利用或采出后经加工的原生盐。</w:t>
      </w:r>
    </w:p>
    <w:p>
      <w:pPr>
        <w:spacing w:line="480" w:lineRule="auto"/>
        <w:rPr>
          <w:rFonts w:ascii="黑体" w:eastAsia="黑体"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 xml:space="preserve">3.3  </w:t>
      </w:r>
    </w:p>
    <w:p>
      <w:pPr>
        <w:spacing w:line="360" w:lineRule="auto"/>
        <w:ind w:firstLine="420" w:firstLineChars="200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>日晒盐</w:t>
      </w:r>
      <w:r>
        <w:rPr>
          <w:rFonts w:hint="eastAsia" w:ascii="黑体" w:eastAsia="黑体"/>
          <w:bCs/>
          <w:color w:val="111111"/>
          <w:kern w:val="36"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以茶卡盐湖、柯柯盐湖卤水日晒浓缩自然结晶的盐。</w:t>
      </w:r>
    </w:p>
    <w:p>
      <w:pPr>
        <w:spacing w:line="480" w:lineRule="auto"/>
        <w:rPr>
          <w:rFonts w:ascii="黑体" w:eastAsia="黑体"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 xml:space="preserve">3.4  </w:t>
      </w:r>
    </w:p>
    <w:p>
      <w:pPr>
        <w:spacing w:line="240" w:lineRule="atLeast"/>
        <w:ind w:firstLine="420" w:firstLineChars="200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>淋卤期</w:t>
      </w:r>
      <w:r>
        <w:rPr>
          <w:rFonts w:hint="eastAsia" w:ascii="黑体" w:eastAsia="黑体"/>
          <w:bCs/>
          <w:color w:val="111111"/>
          <w:kern w:val="36"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原生盐或日晒盐在坨地堆积成坨，利用日晒、风吹等自然方式降低部分晶体表面杂质和水分的过程。</w:t>
      </w:r>
      <w:r>
        <w:rPr>
          <w:rFonts w:hint="eastAsia" w:ascii="宋体" w:hAnsi="宋体"/>
          <w:szCs w:val="22"/>
        </w:rPr>
        <w:t>淋卤期一般为3至6个月。</w:t>
      </w:r>
    </w:p>
    <w:p>
      <w:pPr>
        <w:spacing w:line="480" w:lineRule="auto"/>
        <w:rPr>
          <w:rFonts w:ascii="黑体" w:eastAsia="黑体"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 xml:space="preserve">3.5  </w:t>
      </w:r>
    </w:p>
    <w:p>
      <w:pPr>
        <w:spacing w:line="20" w:lineRule="atLeast"/>
        <w:ind w:firstLine="420" w:firstLineChars="200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color w:val="111111"/>
          <w:kern w:val="36"/>
          <w:szCs w:val="21"/>
        </w:rPr>
        <w:t>坨地</w:t>
      </w:r>
      <w:r>
        <w:rPr>
          <w:rFonts w:hint="eastAsia" w:ascii="黑体" w:eastAsia="黑体"/>
          <w:bCs/>
          <w:color w:val="111111"/>
          <w:kern w:val="36"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存放原生盐或日晒盐的露天场地。</w:t>
      </w:r>
    </w:p>
    <w:p>
      <w:pPr>
        <w:pStyle w:val="40"/>
        <w:rPr>
          <w:rFonts w:hint="eastAsia"/>
        </w:rPr>
      </w:pPr>
      <w:r>
        <w:rPr>
          <w:rFonts w:hint="eastAsia"/>
        </w:rPr>
        <w:t>要求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4.1  自然环境</w:t>
      </w:r>
    </w:p>
    <w:p>
      <w:pPr>
        <w:spacing w:line="480" w:lineRule="auto"/>
        <w:rPr>
          <w:rFonts w:ascii="宋体" w:hAnsi="宋体"/>
          <w:b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4.1.1</w:t>
      </w:r>
      <w:r>
        <w:rPr>
          <w:rFonts w:hint="eastAsia"/>
          <w:b/>
          <w:bCs/>
          <w:color w:val="111111"/>
          <w:kern w:val="36"/>
          <w:szCs w:val="21"/>
        </w:rPr>
        <w:t xml:space="preserve"> </w:t>
      </w:r>
      <w:r>
        <w:rPr>
          <w:rFonts w:hint="eastAsia" w:ascii="宋体" w:hAnsi="宋体"/>
          <w:szCs w:val="22"/>
        </w:rPr>
        <w:t>产地远离工矿区、生活污染以及交通干线，生态环境良好。</w:t>
      </w:r>
    </w:p>
    <w:p>
      <w:pPr>
        <w:spacing w:line="480" w:lineRule="auto"/>
        <w:rPr>
          <w:rFonts w:ascii="宋体" w:hAnsi="宋体"/>
          <w:bCs/>
          <w:color w:val="111111"/>
          <w:kern w:val="36"/>
          <w:szCs w:val="21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4.1.2</w:t>
      </w:r>
      <w:r>
        <w:rPr>
          <w:rFonts w:hint="eastAsia" w:ascii="宋体" w:hAnsi="宋体"/>
          <w:szCs w:val="22"/>
        </w:rPr>
        <w:t>产地周围5km内主导风向20km以内无工矿企业污染源。</w:t>
      </w:r>
    </w:p>
    <w:p>
      <w:pPr>
        <w:spacing w:line="480" w:lineRule="auto"/>
        <w:rPr>
          <w:rFonts w:ascii="宋体" w:hAnsi="宋体"/>
          <w:bCs/>
          <w:color w:val="111111"/>
          <w:kern w:val="36"/>
          <w:szCs w:val="21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4.1.3</w:t>
      </w:r>
      <w:r>
        <w:rPr>
          <w:rFonts w:hint="eastAsia" w:ascii="宋体" w:hAnsi="宋体"/>
          <w:szCs w:val="22"/>
        </w:rPr>
        <w:t>有确定的原料盐采区、原料盐堆放场地和完善的环境卫生管理措施。</w:t>
      </w:r>
    </w:p>
    <w:p>
      <w:pPr>
        <w:spacing w:line="480" w:lineRule="auto"/>
        <w:rPr>
          <w:rFonts w:ascii="宋体" w:hAnsi="宋体"/>
          <w:bCs/>
          <w:color w:val="111111"/>
          <w:kern w:val="36"/>
          <w:szCs w:val="21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4.1.4</w:t>
      </w:r>
      <w:r>
        <w:rPr>
          <w:rFonts w:hint="eastAsia" w:ascii="宋体" w:hAnsi="宋体"/>
          <w:szCs w:val="22"/>
        </w:rPr>
        <w:t>采区和原料盐堆放场地周围3km范围内无生活垃圾、工业固体废物填埋场。</w:t>
      </w:r>
    </w:p>
    <w:p>
      <w:pPr>
        <w:spacing w:line="480" w:lineRule="auto"/>
        <w:rPr>
          <w:rFonts w:ascii="宋体" w:hAnsi="宋体"/>
          <w:szCs w:val="22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4.1.5</w:t>
      </w:r>
      <w:r>
        <w:rPr>
          <w:rFonts w:hint="eastAsia" w:ascii="宋体" w:hAnsi="宋体"/>
          <w:szCs w:val="22"/>
        </w:rPr>
        <w:t>淡水补充来源于湖内地下泉水和周围高山融化的雪水。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4.2  原料</w:t>
      </w:r>
    </w:p>
    <w:p>
      <w:pPr>
        <w:spacing w:line="36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茶卡盐原料使用满淋卤期的原生盐或日晒盐，洗涤液使用卤水。</w:t>
      </w:r>
    </w:p>
    <w:p>
      <w:pPr>
        <w:spacing w:line="480" w:lineRule="auto"/>
        <w:rPr>
          <w:rFonts w:ascii="黑体" w:hAnsi="宋体" w:eastAsia="黑体"/>
          <w:szCs w:val="22"/>
        </w:rPr>
      </w:pPr>
      <w:r>
        <w:rPr>
          <w:rFonts w:hint="eastAsia" w:ascii="黑体" w:hAnsi="宋体" w:eastAsia="黑体"/>
          <w:szCs w:val="22"/>
        </w:rPr>
        <w:t>4.2.1  原生盐</w:t>
      </w:r>
    </w:p>
    <w:p>
      <w:pPr>
        <w:spacing w:line="48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氯化钠含量≥96%、水不溶物≤0.2%、硫酸根≤0.3%</w:t>
      </w:r>
    </w:p>
    <w:p>
      <w:pPr>
        <w:spacing w:line="480" w:lineRule="auto"/>
        <w:rPr>
          <w:rFonts w:ascii="黑体" w:hAnsi="宋体" w:eastAsia="黑体"/>
          <w:szCs w:val="22"/>
        </w:rPr>
      </w:pPr>
      <w:r>
        <w:rPr>
          <w:rFonts w:hint="eastAsia" w:ascii="黑体" w:hAnsi="宋体" w:eastAsia="黑体"/>
          <w:szCs w:val="22"/>
        </w:rPr>
        <w:t>4.2.2  日晒盐</w:t>
      </w:r>
    </w:p>
    <w:p>
      <w:pPr>
        <w:spacing w:line="48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氯化钠含量≥95%、水不溶物≤0.15%、硫酸根≤0.3%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4.3  工艺</w:t>
      </w:r>
    </w:p>
    <w:p>
      <w:pPr>
        <w:spacing w:line="48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湖内采掘→岸上集坨→原料筛分→三洗三破→脱水烘干→筛分→加碘→计量包装</w:t>
      </w:r>
    </w:p>
    <w:p>
      <w:pPr>
        <w:spacing w:line="480" w:lineRule="auto"/>
        <w:rPr>
          <w:rFonts w:ascii="黑体" w:hAnsi="Calibri" w:eastAsia="黑体"/>
          <w:szCs w:val="22"/>
        </w:rPr>
      </w:pPr>
      <w:r>
        <w:rPr>
          <w:rFonts w:hint="eastAsia" w:ascii="黑体" w:hAnsi="Calibri" w:eastAsia="黑体"/>
          <w:szCs w:val="22"/>
        </w:rPr>
        <w:t>4.3.1  原生盐为原料</w:t>
      </w:r>
    </w:p>
    <w:p>
      <w:pPr>
        <w:spacing w:line="240" w:lineRule="atLeast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满淋卤期的原生盐筛分后进行破碎洗涤、离心脱水、烘干、筛分后添加碘强化剂、包装。</w:t>
      </w:r>
    </w:p>
    <w:p>
      <w:pPr>
        <w:spacing w:line="480" w:lineRule="auto"/>
        <w:rPr>
          <w:rFonts w:ascii="黑体" w:hAnsi="宋体" w:eastAsia="黑体"/>
          <w:szCs w:val="22"/>
        </w:rPr>
      </w:pPr>
      <w:r>
        <w:rPr>
          <w:rFonts w:hint="eastAsia" w:ascii="黑体" w:hAnsi="宋体" w:eastAsia="黑体"/>
          <w:szCs w:val="22"/>
        </w:rPr>
        <w:t>4.3.2  日晒盐为原料</w:t>
      </w:r>
    </w:p>
    <w:p>
      <w:pPr>
        <w:spacing w:line="48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自然结晶的日晒盐采掘堆放满淋卤期后，洗涤破碎、离心脱水、烘干加碘、筛分包装。</w:t>
      </w:r>
      <w:r>
        <w:rPr>
          <w:rFonts w:ascii="宋体" w:hAnsi="宋体"/>
          <w:szCs w:val="22"/>
        </w:rPr>
        <w:t xml:space="preserve"> 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4.4  感官指标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感官指标应符合表1的规定。</w:t>
      </w:r>
    </w:p>
    <w:p>
      <w:pPr>
        <w:spacing w:line="360" w:lineRule="auto"/>
        <w:ind w:firstLine="420" w:firstLineChars="200"/>
        <w:jc w:val="center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 xml:space="preserve">表1 </w:t>
      </w:r>
      <w:r>
        <w:rPr>
          <w:rFonts w:hint="eastAsia" w:ascii="黑体" w:hAnsi="Calibri" w:eastAsia="黑体"/>
          <w:szCs w:val="22"/>
        </w:rPr>
        <w:t>感官要求</w:t>
      </w:r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项</w:t>
            </w:r>
            <w:r>
              <w:rPr>
                <w:rFonts w:hint="eastAsia"/>
                <w:bCs/>
                <w:kern w:val="36"/>
                <w:sz w:val="18"/>
                <w:szCs w:val="18"/>
              </w:rPr>
              <w:t xml:space="preserve">    </w:t>
            </w:r>
            <w:r>
              <w:rPr>
                <w:bCs/>
                <w:kern w:val="36"/>
                <w:sz w:val="18"/>
                <w:szCs w:val="18"/>
              </w:rPr>
              <w:t>目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rFonts w:hint="eastAsia"/>
                <w:bCs/>
                <w:kern w:val="36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状</w:t>
            </w:r>
            <w:r>
              <w:rPr>
                <w:rFonts w:hint="eastAsia"/>
                <w:bCs/>
                <w:kern w:val="36"/>
                <w:sz w:val="18"/>
                <w:szCs w:val="18"/>
              </w:rPr>
              <w:t>态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rFonts w:hint="eastAsia"/>
                <w:bCs/>
                <w:kern w:val="36"/>
                <w:sz w:val="18"/>
                <w:szCs w:val="18"/>
              </w:rPr>
              <w:t>结晶体，无正常视力可见外来异物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色泽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rFonts w:hint="eastAsia"/>
                <w:bCs/>
                <w:kern w:val="36"/>
                <w:sz w:val="18"/>
                <w:szCs w:val="18"/>
              </w:rPr>
              <w:t>白色或青色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滋味、气味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味</w:t>
            </w:r>
            <w:r>
              <w:rPr>
                <w:rFonts w:hint="eastAsia"/>
                <w:bCs/>
                <w:kern w:val="36"/>
                <w:sz w:val="18"/>
                <w:szCs w:val="18"/>
              </w:rPr>
              <w:t>咸</w:t>
            </w:r>
            <w:r>
              <w:rPr>
                <w:bCs/>
                <w:kern w:val="36"/>
                <w:sz w:val="18"/>
                <w:szCs w:val="18"/>
              </w:rPr>
              <w:t>、</w:t>
            </w:r>
            <w:r>
              <w:rPr>
                <w:rFonts w:hint="eastAsia"/>
                <w:bCs/>
                <w:kern w:val="36"/>
                <w:sz w:val="18"/>
                <w:szCs w:val="18"/>
              </w:rPr>
              <w:t>无异味</w:t>
            </w:r>
          </w:p>
        </w:tc>
      </w:tr>
    </w:tbl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4.5  理化指标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理化指标应符合表2的规定。</w:t>
      </w:r>
    </w:p>
    <w:p>
      <w:pPr>
        <w:spacing w:line="360" w:lineRule="auto"/>
        <w:ind w:firstLine="420" w:firstLineChars="200"/>
        <w:jc w:val="center"/>
        <w:rPr>
          <w:rFonts w:ascii="黑体" w:hAnsi="Calibri" w:eastAsia="黑体"/>
          <w:szCs w:val="22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 xml:space="preserve">表2 </w:t>
      </w:r>
      <w:r>
        <w:rPr>
          <w:rFonts w:hint="eastAsia" w:ascii="黑体" w:hAnsi="Calibri" w:eastAsia="黑体"/>
          <w:szCs w:val="22"/>
        </w:rPr>
        <w:t>理化指标</w:t>
      </w:r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  目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Merge w:val="continue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原生盐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日晒盐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shd w:val="clear" w:color="auto" w:fill="auto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理化指标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（湿基）</w:t>
            </w: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粒度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1）</w:t>
            </w:r>
            <w:r>
              <w:rPr>
                <w:rFonts w:hint="eastAsia" w:ascii="宋体" w:hAnsi="宋体"/>
                <w:sz w:val="18"/>
                <w:szCs w:val="18"/>
              </w:rPr>
              <w:t>，%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大粒2.0mm-8.0mm≥70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中粒0.3mm-2.5mm≥70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小粒0.15mm-0.85mm≥70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白度，度             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大粒≥50 中粒≥60 小粒≥70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氯化钠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2）</w:t>
            </w:r>
            <w:r>
              <w:rPr>
                <w:rFonts w:hint="eastAsia" w:ascii="宋体" w:hAnsi="宋体"/>
                <w:sz w:val="18"/>
                <w:szCs w:val="18"/>
              </w:rPr>
              <w:t>，g/100g   %  ≥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98.00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氯化钾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3）</w:t>
            </w:r>
            <w:r>
              <w:rPr>
                <w:rFonts w:hint="eastAsia" w:ascii="宋体" w:hAnsi="宋体"/>
                <w:sz w:val="18"/>
                <w:szCs w:val="18"/>
              </w:rPr>
              <w:t>，g/100g   %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水分，</w:t>
            </w:r>
            <w:r>
              <w:rPr>
                <w:rFonts w:ascii="宋体" w:hAnsi="宋体"/>
                <w:sz w:val="18"/>
                <w:szCs w:val="18"/>
              </w:rPr>
              <w:t>g/100g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%   ≤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1.50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水不溶物，</w:t>
            </w:r>
            <w:r>
              <w:rPr>
                <w:rFonts w:ascii="宋体" w:hAnsi="宋体"/>
                <w:sz w:val="18"/>
                <w:szCs w:val="18"/>
              </w:rPr>
              <w:t>g/100g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%   ≤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硫酸根，</w:t>
            </w:r>
            <w:r>
              <w:rPr>
                <w:rFonts w:ascii="宋体" w:hAnsi="宋体"/>
                <w:sz w:val="18"/>
                <w:szCs w:val="18"/>
              </w:rPr>
              <w:t>g/100g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%   ≤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0.30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碘强化剂</w:t>
            </w: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碘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4）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（以I计）mg/kg   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按GB 26878规定执行（非碘盐不计）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抗结剂</w:t>
            </w:r>
          </w:p>
        </w:tc>
        <w:tc>
          <w:tcPr>
            <w:tcW w:w="259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亚铁氰化钾</w:t>
            </w:r>
            <w:r>
              <w:rPr>
                <w:rFonts w:hint="eastAsia" w:ascii="Calibri" w:hAnsi="Calibri"/>
                <w:sz w:val="18"/>
                <w:szCs w:val="18"/>
                <w:vertAlign w:val="superscript"/>
              </w:rPr>
              <w:t>5）</w:t>
            </w:r>
            <w:r>
              <w:rPr>
                <w:rFonts w:hint="eastAsia" w:ascii="Calibri" w:hAnsi="Calibri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以[Fe(CN)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4-</w:t>
            </w:r>
            <w:r>
              <w:rPr>
                <w:rFonts w:hint="eastAsia" w:ascii="宋体" w:hAnsi="宋体"/>
                <w:sz w:val="18"/>
                <w:szCs w:val="18"/>
              </w:rPr>
              <w:t>计），mg/kg           ≤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注：1）粒度指标可根据客户要求组织生产 </w:t>
            </w:r>
          </w:p>
          <w:p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2）不适用于低钠盐</w:t>
            </w:r>
          </w:p>
          <w:p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3）仅适用于低钠盐</w:t>
            </w:r>
          </w:p>
          <w:p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4）对高碘地区、不宜食用碘盐人群提供的非碘茶卡盐，碘含量不得高于5mg/kg</w:t>
            </w:r>
          </w:p>
          <w:p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5）不适用于绿色食品精制盐和低钠盐</w:t>
            </w:r>
          </w:p>
        </w:tc>
      </w:tr>
    </w:tbl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4.6  污染物限量指标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污染物限量</w:t>
      </w:r>
      <w:r>
        <w:rPr>
          <w:bCs/>
          <w:color w:val="111111"/>
          <w:kern w:val="36"/>
          <w:szCs w:val="21"/>
        </w:rPr>
        <w:t>指标应符合表3的规定。</w:t>
      </w:r>
    </w:p>
    <w:p>
      <w:pPr>
        <w:spacing w:line="360" w:lineRule="auto"/>
        <w:ind w:firstLine="420" w:firstLineChars="200"/>
        <w:jc w:val="center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表3 污染物限量指标</w:t>
      </w:r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36"/>
                <w:sz w:val="18"/>
                <w:szCs w:val="18"/>
              </w:rPr>
            </w:pP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项目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铅（以Pb计</w:t>
            </w:r>
            <w:r>
              <w:rPr>
                <w:rFonts w:hint="eastAsia" w:ascii="宋体" w:hAnsi="宋体"/>
                <w:bCs/>
                <w:kern w:val="36"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 xml:space="preserve">，mg/kg               </w:t>
            </w:r>
            <w:r>
              <w:rPr>
                <w:rFonts w:hint="eastAsia" w:ascii="宋体" w:hAnsi="宋体"/>
                <w:bCs/>
                <w:kern w:val="36"/>
                <w:sz w:val="18"/>
                <w:szCs w:val="18"/>
              </w:rPr>
              <w:t>≤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36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镉（以Cd计</w:t>
            </w:r>
            <w:r>
              <w:rPr>
                <w:rFonts w:hint="eastAsia" w:ascii="宋体" w:hAnsi="宋体"/>
                <w:bCs/>
                <w:kern w:val="36"/>
                <w:sz w:val="18"/>
                <w:szCs w:val="18"/>
              </w:rPr>
              <w:t>）</w:t>
            </w: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 xml:space="preserve">，mg/kg               </w:t>
            </w:r>
            <w:r>
              <w:rPr>
                <w:rFonts w:hint="eastAsia" w:ascii="宋体" w:hAnsi="宋体"/>
                <w:bCs/>
                <w:kern w:val="36"/>
                <w:sz w:val="18"/>
                <w:szCs w:val="18"/>
              </w:rPr>
              <w:t>≤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总汞（以Hg计），</w:t>
            </w:r>
            <w:r>
              <w:rPr>
                <w:rFonts w:ascii="宋体" w:hAnsi="宋体"/>
                <w:bCs/>
                <w:kern w:val="36"/>
                <w:sz w:val="18"/>
                <w:szCs w:val="18"/>
              </w:rPr>
              <w:t>mg/kg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</w:tbl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4.7  食品添加剂和营养强化剂</w:t>
      </w:r>
    </w:p>
    <w:p>
      <w:pPr>
        <w:spacing w:line="480" w:lineRule="auto"/>
        <w:ind w:firstLine="420" w:firstLineChars="200"/>
        <w:rPr>
          <w:rFonts w:hint="eastAsia" w:ascii="宋体" w:hAnsi="宋体"/>
          <w:bCs/>
          <w:color w:val="111111"/>
          <w:kern w:val="36"/>
          <w:szCs w:val="21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食品添加剂和营养强化剂的质量应符合GB 2760、GB 14880、GB 26878标准规定。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4.8  净含量</w:t>
      </w:r>
    </w:p>
    <w:p>
      <w:pPr>
        <w:spacing w:line="480" w:lineRule="auto"/>
        <w:ind w:firstLine="420" w:firstLineChars="200"/>
        <w:rPr>
          <w:rFonts w:ascii="宋体" w:hAnsi="宋体"/>
          <w:bCs/>
          <w:color w:val="111111"/>
          <w:kern w:val="36"/>
          <w:szCs w:val="21"/>
        </w:rPr>
      </w:pPr>
      <w:r>
        <w:rPr>
          <w:rFonts w:hint="eastAsia" w:ascii="宋体" w:hAnsi="宋体"/>
          <w:bCs/>
          <w:color w:val="111111"/>
          <w:kern w:val="36"/>
          <w:szCs w:val="21"/>
        </w:rPr>
        <w:t>单件定量包装产品的净含量应国家质量监督检验检疫总局[2005]第75号令《定量包装商品计量监督管理办法》。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  试验方法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5.1  感官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取适量样品放在白色洁净瓷盘内，在自然光下观察其色泽和组织状态，并嗅其气味</w:t>
      </w:r>
      <w:r>
        <w:rPr>
          <w:bCs/>
          <w:color w:val="111111"/>
          <w:kern w:val="36"/>
          <w:szCs w:val="21"/>
        </w:rPr>
        <w:t>。</w:t>
      </w:r>
      <w:r>
        <w:rPr>
          <w:rFonts w:hint="eastAsia"/>
          <w:bCs/>
          <w:color w:val="111111"/>
          <w:kern w:val="36"/>
          <w:szCs w:val="21"/>
        </w:rPr>
        <w:t>用温开水漱口，品尝滋味。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  理化指标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5.2.1  粒度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13025.1规定执行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5.2.2  白度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13025.2规定执行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5.2.3  水分</w:t>
      </w:r>
    </w:p>
    <w:p>
      <w:pPr>
        <w:spacing w:line="480" w:lineRule="auto"/>
        <w:ind w:firstLine="420" w:firstLineChars="200"/>
        <w:rPr>
          <w:bCs/>
          <w:kern w:val="36"/>
          <w:szCs w:val="21"/>
        </w:rPr>
      </w:pPr>
      <w:r>
        <w:rPr>
          <w:rFonts w:hint="eastAsia" w:ascii="Calibri" w:hAnsi="Calibri"/>
          <w:szCs w:val="22"/>
        </w:rPr>
        <w:t>按GB/T 13025.3规定执行</w:t>
      </w:r>
      <w:r>
        <w:rPr>
          <w:bCs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5.2.4  水不溶物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13025.4规定执行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5.2.5  氯离子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13025.5规定执行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5.2.6  钙、镁离子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13025.6规定执行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5.2.7  碘离子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13025.7规定执行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5.2.8  硫酸根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 w:ascii="Calibri" w:hAnsi="Calibri"/>
          <w:szCs w:val="22"/>
        </w:rPr>
        <w:t>按GB/T 13025.8规定执行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5.2.9 亚铁氰化钾</w:t>
      </w:r>
    </w:p>
    <w:p>
      <w:pPr>
        <w:spacing w:line="480" w:lineRule="auto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/>
          <w:bCs/>
          <w:color w:val="111111"/>
          <w:kern w:val="36"/>
          <w:szCs w:val="21"/>
        </w:rPr>
        <w:t>按照</w:t>
      </w:r>
      <w:r>
        <w:rPr>
          <w:rFonts w:hint="eastAsia" w:ascii="Calibri" w:hAnsi="Calibri"/>
          <w:szCs w:val="22"/>
        </w:rPr>
        <w:t>GB/T 13025.10规定执行。</w:t>
      </w:r>
    </w:p>
    <w:p>
      <w:pPr>
        <w:spacing w:line="480" w:lineRule="auto"/>
        <w:rPr>
          <w:rFonts w:hint="eastAsia" w:ascii="黑体" w:hAnsi="Calibri" w:eastAsia="黑体"/>
          <w:szCs w:val="22"/>
        </w:rPr>
      </w:pPr>
      <w:r>
        <w:rPr>
          <w:rFonts w:hint="eastAsia" w:ascii="黑体" w:hAnsi="Calibri" w:eastAsia="黑体"/>
          <w:szCs w:val="22"/>
        </w:rPr>
        <w:t>5.2.10钾离子</w:t>
      </w:r>
    </w:p>
    <w:p>
      <w:pPr>
        <w:spacing w:line="480" w:lineRule="auto"/>
        <w:ind w:firstLine="420" w:firstLineChars="2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按照QB/T 2019规定执行，以重量法为仲裁法。</w:t>
      </w:r>
    </w:p>
    <w:p>
      <w:pPr>
        <w:spacing w:line="36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5.2.11  氯化钠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按</w:t>
      </w:r>
      <w:r>
        <w:rPr>
          <w:rFonts w:hint="eastAsia"/>
          <w:bCs/>
          <w:color w:val="111111"/>
          <w:kern w:val="36"/>
          <w:szCs w:val="21"/>
        </w:rPr>
        <w:t>5.2.5、5.2.6、5.2.8给出的各离子含量，依据表4中给出的离子结合顺序，依次计算硫酸钙、硫酸镁、硫酸钠、氯化钙、氯化镁、氯化钠含量。若以顺序号计算时，某种化合物因阴离子或阳离子不存在而不能形成时，即依次以下一序号递补进行计算，计算结果至小数点后第二位，取至第一位。</w:t>
      </w:r>
    </w:p>
    <w:p>
      <w:pPr>
        <w:spacing w:line="360" w:lineRule="auto"/>
        <w:ind w:firstLine="420" w:firstLineChars="200"/>
        <w:jc w:val="center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表4 离子结合顺序</w:t>
      </w:r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阴离子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阳离子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钙离子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镁离子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钠离子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硫酸根离子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（1）硫酸钙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（2）硫酸镁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（3）硫酸钠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氯离子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（4）氯化钙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（5）氯化镁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111111"/>
                <w:kern w:val="3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111111"/>
                <w:kern w:val="36"/>
                <w:sz w:val="18"/>
                <w:szCs w:val="18"/>
              </w:rPr>
              <w:t>（6）氯化钠</w:t>
            </w:r>
          </w:p>
        </w:tc>
      </w:tr>
    </w:tbl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5.2.12  数据检验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氯化钠、硫酸钙、硫酸镁、硫酸钠、氯化钙、氯化镁、水分、水不溶物之和在（99.5~100.4）g/100g之间时检验数据成立。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5.3  污染物限量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5.3.1  铅离子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按GB 5009.12或GB/T 13025.9规定执行，以GB 5009.12规定的方法为仲裁法。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5.3.2  镉离子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按GB 5009.15规定执行。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5.3.3  总汞</w:t>
      </w:r>
    </w:p>
    <w:p>
      <w:pPr>
        <w:spacing w:line="480" w:lineRule="auto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按GB 5009.17规定执行。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  检验规则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6.1  检验分类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6.1.1  出厂检验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每批</w:t>
      </w:r>
      <w:r>
        <w:rPr>
          <w:rFonts w:hint="eastAsia"/>
          <w:bCs/>
          <w:color w:val="111111"/>
          <w:kern w:val="36"/>
          <w:szCs w:val="21"/>
        </w:rPr>
        <w:t>产</w:t>
      </w:r>
      <w:r>
        <w:rPr>
          <w:bCs/>
          <w:color w:val="111111"/>
          <w:kern w:val="36"/>
          <w:szCs w:val="21"/>
        </w:rPr>
        <w:t>品出厂前，应进行出厂检验，检验内容包括包装、标签、净含量、感官、理化指标</w:t>
      </w:r>
      <w:r>
        <w:rPr>
          <w:rFonts w:hint="eastAsia"/>
          <w:bCs/>
          <w:color w:val="111111"/>
          <w:kern w:val="36"/>
          <w:szCs w:val="21"/>
        </w:rPr>
        <w:t>、食品添加剂和营养强化剂</w:t>
      </w:r>
      <w:r>
        <w:rPr>
          <w:bCs/>
          <w:color w:val="111111"/>
          <w:kern w:val="36"/>
          <w:szCs w:val="21"/>
        </w:rPr>
        <w:t>，检验合格并附合格证，方可出厂。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6.1.2  型式检验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型</w:t>
      </w:r>
      <w:r>
        <w:rPr>
          <w:bCs/>
          <w:color w:val="111111"/>
          <w:kern w:val="36"/>
          <w:szCs w:val="21"/>
        </w:rPr>
        <w:t>式检验是对产品进行全面</w:t>
      </w:r>
      <w:r>
        <w:rPr>
          <w:rFonts w:hint="eastAsia"/>
          <w:bCs/>
          <w:color w:val="111111"/>
          <w:kern w:val="36"/>
          <w:szCs w:val="21"/>
        </w:rPr>
        <w:t>检验</w:t>
      </w:r>
      <w:r>
        <w:rPr>
          <w:bCs/>
          <w:color w:val="111111"/>
          <w:kern w:val="36"/>
          <w:szCs w:val="21"/>
        </w:rPr>
        <w:t>，即对本标准规定的感官、理化</w:t>
      </w:r>
      <w:r>
        <w:rPr>
          <w:rFonts w:hint="eastAsia"/>
          <w:bCs/>
          <w:color w:val="111111"/>
          <w:kern w:val="36"/>
          <w:szCs w:val="21"/>
        </w:rPr>
        <w:t>、食品添加剂、营养强化剂</w:t>
      </w:r>
      <w:r>
        <w:rPr>
          <w:bCs/>
          <w:color w:val="111111"/>
          <w:kern w:val="36"/>
          <w:szCs w:val="21"/>
        </w:rPr>
        <w:t>和</w:t>
      </w:r>
      <w:r>
        <w:rPr>
          <w:rFonts w:hint="eastAsia"/>
          <w:bCs/>
          <w:color w:val="111111"/>
          <w:kern w:val="36"/>
          <w:szCs w:val="21"/>
        </w:rPr>
        <w:t>污染物限量</w:t>
      </w:r>
      <w:r>
        <w:rPr>
          <w:bCs/>
          <w:color w:val="111111"/>
          <w:kern w:val="36"/>
          <w:szCs w:val="21"/>
        </w:rPr>
        <w:t>指标进行检验。有下列情况之一时进行</w:t>
      </w:r>
      <w:r>
        <w:rPr>
          <w:rFonts w:hint="eastAsia"/>
          <w:bCs/>
          <w:color w:val="111111"/>
          <w:kern w:val="36"/>
          <w:szCs w:val="21"/>
        </w:rPr>
        <w:t>型</w:t>
      </w:r>
      <w:r>
        <w:rPr>
          <w:bCs/>
          <w:color w:val="111111"/>
          <w:kern w:val="36"/>
          <w:szCs w:val="21"/>
        </w:rPr>
        <w:t>式检验：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a）</w:t>
      </w:r>
      <w:r>
        <w:rPr>
          <w:rFonts w:hint="eastAsia"/>
          <w:bCs/>
          <w:color w:val="111111"/>
          <w:kern w:val="36"/>
          <w:szCs w:val="21"/>
        </w:rPr>
        <w:t>长期停产后恢复生产时</w:t>
      </w:r>
      <w:r>
        <w:rPr>
          <w:bCs/>
          <w:color w:val="111111"/>
          <w:kern w:val="36"/>
          <w:szCs w:val="21"/>
        </w:rPr>
        <w:t>；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b）原料、生产工艺、生产环境发生较大变化可能影响产品质量时；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c）</w:t>
      </w:r>
      <w:r>
        <w:rPr>
          <w:rFonts w:hint="eastAsia"/>
          <w:bCs/>
          <w:color w:val="111111"/>
          <w:kern w:val="36"/>
          <w:szCs w:val="21"/>
        </w:rPr>
        <w:t>出厂检验结果与上次型式检验有较大差异时</w:t>
      </w:r>
      <w:r>
        <w:rPr>
          <w:bCs/>
          <w:color w:val="111111"/>
          <w:kern w:val="36"/>
          <w:szCs w:val="21"/>
        </w:rPr>
        <w:t>；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d）国家质量监督机构或主管部门提出进行</w:t>
      </w:r>
      <w:r>
        <w:rPr>
          <w:rFonts w:hint="eastAsia"/>
          <w:bCs/>
          <w:color w:val="111111"/>
          <w:kern w:val="36"/>
          <w:szCs w:val="21"/>
        </w:rPr>
        <w:t>型</w:t>
      </w:r>
      <w:r>
        <w:rPr>
          <w:bCs/>
          <w:color w:val="111111"/>
          <w:kern w:val="36"/>
          <w:szCs w:val="21"/>
        </w:rPr>
        <w:t>式检验时；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e）正常生产应每</w:t>
      </w:r>
      <w:r>
        <w:rPr>
          <w:rFonts w:hint="eastAsia"/>
          <w:bCs/>
          <w:color w:val="111111"/>
          <w:kern w:val="36"/>
          <w:szCs w:val="21"/>
        </w:rPr>
        <w:t>半</w:t>
      </w:r>
      <w:r>
        <w:rPr>
          <w:bCs/>
          <w:color w:val="111111"/>
          <w:kern w:val="36"/>
          <w:szCs w:val="21"/>
        </w:rPr>
        <w:t>年进行一次</w:t>
      </w:r>
      <w:r>
        <w:rPr>
          <w:rFonts w:hint="eastAsia"/>
          <w:bCs/>
          <w:color w:val="111111"/>
          <w:kern w:val="36"/>
          <w:szCs w:val="21"/>
        </w:rPr>
        <w:t>型</w:t>
      </w:r>
      <w:r>
        <w:rPr>
          <w:bCs/>
          <w:color w:val="111111"/>
          <w:kern w:val="36"/>
          <w:szCs w:val="21"/>
        </w:rPr>
        <w:t>式检验。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6.2  组批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由相同的加工方式生产的同一</w:t>
      </w:r>
      <w:r>
        <w:rPr>
          <w:rFonts w:hint="eastAsia"/>
          <w:bCs/>
          <w:color w:val="111111"/>
          <w:kern w:val="36"/>
          <w:szCs w:val="21"/>
        </w:rPr>
        <w:t>批原料</w:t>
      </w:r>
      <w:r>
        <w:rPr>
          <w:bCs/>
          <w:color w:val="111111"/>
          <w:kern w:val="36"/>
          <w:szCs w:val="21"/>
        </w:rPr>
        <w:t>、同一</w:t>
      </w:r>
      <w:r>
        <w:rPr>
          <w:rFonts w:hint="eastAsia"/>
          <w:bCs/>
          <w:color w:val="111111"/>
          <w:kern w:val="36"/>
          <w:szCs w:val="21"/>
        </w:rPr>
        <w:t>生产线</w:t>
      </w:r>
      <w:r>
        <w:rPr>
          <w:bCs/>
          <w:color w:val="111111"/>
          <w:kern w:val="36"/>
          <w:szCs w:val="21"/>
        </w:rPr>
        <w:t>、相同</w:t>
      </w:r>
      <w:r>
        <w:rPr>
          <w:rFonts w:hint="eastAsia"/>
          <w:bCs/>
          <w:color w:val="111111"/>
          <w:kern w:val="36"/>
          <w:szCs w:val="21"/>
        </w:rPr>
        <w:t>的加工方法生产的同一等级的一次交付的</w:t>
      </w:r>
      <w:r>
        <w:rPr>
          <w:bCs/>
          <w:color w:val="111111"/>
          <w:kern w:val="36"/>
          <w:szCs w:val="21"/>
        </w:rPr>
        <w:t>产品</w:t>
      </w:r>
      <w:r>
        <w:rPr>
          <w:rFonts w:hint="eastAsia"/>
          <w:bCs/>
          <w:color w:val="111111"/>
          <w:kern w:val="36"/>
          <w:szCs w:val="21"/>
        </w:rPr>
        <w:t>构成一</w:t>
      </w:r>
      <w:r>
        <w:rPr>
          <w:bCs/>
          <w:color w:val="111111"/>
          <w:kern w:val="36"/>
          <w:szCs w:val="21"/>
        </w:rPr>
        <w:t>批。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6.3  抽样方法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对于构不成批量（</w:t>
      </w:r>
      <w:r>
        <w:rPr>
          <w:rFonts w:hint="eastAsia" w:ascii="宋体" w:hAnsi="宋体"/>
          <w:bCs/>
          <w:color w:val="111111"/>
          <w:kern w:val="36"/>
          <w:szCs w:val="21"/>
        </w:rPr>
        <w:t>&lt;</w:t>
      </w:r>
      <w:r>
        <w:rPr>
          <w:rFonts w:hint="eastAsia"/>
          <w:bCs/>
          <w:color w:val="111111"/>
          <w:kern w:val="36"/>
          <w:szCs w:val="21"/>
        </w:rPr>
        <w:t>100kg）的食用盐产品，随机抽取800g以上样品，混匀后平均分成两份，一份用于检测， 一份作为备份样</w:t>
      </w:r>
      <w:r>
        <w:rPr>
          <w:bCs/>
          <w:color w:val="111111"/>
          <w:kern w:val="36"/>
          <w:szCs w:val="21"/>
        </w:rPr>
        <w:t>。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rFonts w:hint="eastAsia"/>
          <w:bCs/>
          <w:color w:val="111111"/>
          <w:kern w:val="36"/>
          <w:szCs w:val="21"/>
        </w:rPr>
        <w:t>对于批量（</w:t>
      </w:r>
      <w:r>
        <w:rPr>
          <w:rFonts w:hint="eastAsia" w:ascii="宋体" w:hAnsi="宋体"/>
          <w:bCs/>
          <w:color w:val="111111"/>
          <w:kern w:val="36"/>
          <w:szCs w:val="21"/>
        </w:rPr>
        <w:t>≥</w:t>
      </w:r>
      <w:r>
        <w:rPr>
          <w:rFonts w:hint="eastAsia"/>
          <w:bCs/>
          <w:color w:val="111111"/>
          <w:kern w:val="36"/>
          <w:szCs w:val="21"/>
        </w:rPr>
        <w:t>100kg）食用盐产品，碘强化剂项目的抽样按均匀分布，随机抽取9份样，每份样应不少于50g。其他项目按GB/T 8618-2001第一篇规定执行。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7  判定规则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检验结果全部合格时则判定该批产品合格。</w:t>
      </w:r>
      <w:r>
        <w:rPr>
          <w:rFonts w:hint="eastAsia"/>
          <w:bCs/>
          <w:color w:val="111111"/>
          <w:kern w:val="36"/>
          <w:szCs w:val="21"/>
        </w:rPr>
        <w:t>型</w:t>
      </w:r>
      <w:r>
        <w:rPr>
          <w:bCs/>
          <w:color w:val="111111"/>
          <w:kern w:val="36"/>
          <w:szCs w:val="21"/>
        </w:rPr>
        <w:t>式检验项目如有一项不符合本标准，判该产品为不合格产品。出厂检验如有一项不符合本标准，则应在同批产品中加倍抽样，对不符合项目复检，如仍不符合本标准，判该产品为不合格。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  标签、包装、运输、贮存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8.1  标签</w:t>
      </w:r>
    </w:p>
    <w:p>
      <w:pPr>
        <w:spacing w:line="480" w:lineRule="auto"/>
        <w:ind w:firstLine="411" w:firstLineChars="196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预包装产品的标</w:t>
      </w:r>
      <w:r>
        <w:rPr>
          <w:rFonts w:hint="eastAsia"/>
          <w:bCs/>
          <w:color w:val="111111"/>
          <w:kern w:val="36"/>
          <w:szCs w:val="21"/>
        </w:rPr>
        <w:t>签</w:t>
      </w:r>
      <w:r>
        <w:rPr>
          <w:bCs/>
          <w:color w:val="111111"/>
          <w:kern w:val="36"/>
          <w:szCs w:val="21"/>
        </w:rPr>
        <w:t>应符合GB 7718</w:t>
      </w:r>
      <w:r>
        <w:rPr>
          <w:rFonts w:hint="eastAsia"/>
          <w:bCs/>
          <w:color w:val="111111"/>
          <w:kern w:val="36"/>
          <w:szCs w:val="21"/>
        </w:rPr>
        <w:t>、GB 28050</w:t>
      </w:r>
      <w:r>
        <w:rPr>
          <w:bCs/>
          <w:color w:val="111111"/>
          <w:kern w:val="36"/>
          <w:szCs w:val="21"/>
        </w:rPr>
        <w:t>的规定</w:t>
      </w:r>
      <w:r>
        <w:rPr>
          <w:rFonts w:hint="eastAsia"/>
          <w:bCs/>
          <w:color w:val="111111"/>
          <w:kern w:val="36"/>
          <w:szCs w:val="21"/>
        </w:rPr>
        <w:t>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8.2  包装</w:t>
      </w:r>
    </w:p>
    <w:p>
      <w:pPr>
        <w:spacing w:line="480" w:lineRule="auto"/>
        <w:rPr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8.2.1</w:t>
      </w:r>
      <w:r>
        <w:rPr>
          <w:bCs/>
          <w:color w:val="111111"/>
          <w:kern w:val="36"/>
          <w:szCs w:val="21"/>
        </w:rPr>
        <w:t xml:space="preserve">  包装容器（袋）应用干燥、清洁、无异味并符合国家卫生安全要求的材料。</w:t>
      </w:r>
    </w:p>
    <w:p>
      <w:pPr>
        <w:spacing w:line="480" w:lineRule="auto"/>
        <w:rPr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 xml:space="preserve">8.2.2 </w:t>
      </w:r>
      <w:r>
        <w:rPr>
          <w:bCs/>
          <w:color w:val="111111"/>
          <w:kern w:val="36"/>
          <w:szCs w:val="21"/>
        </w:rPr>
        <w:t xml:space="preserve"> </w:t>
      </w:r>
      <w:r>
        <w:rPr>
          <w:rFonts w:hint="eastAsia"/>
          <w:bCs/>
          <w:color w:val="111111"/>
          <w:kern w:val="36"/>
          <w:szCs w:val="21"/>
        </w:rPr>
        <w:t>包装计量应符合国家质量监督检验检疫总局[2005]第75号令《定量包装商品计量监督管理办法》的规定。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8.3  运输</w:t>
      </w:r>
    </w:p>
    <w:p>
      <w:pPr>
        <w:spacing w:line="240" w:lineRule="atLeast"/>
        <w:ind w:firstLine="420" w:firstLineChars="200"/>
        <w:rPr>
          <w:bCs/>
          <w:color w:val="111111"/>
          <w:kern w:val="36"/>
          <w:szCs w:val="21"/>
        </w:rPr>
      </w:pPr>
      <w:r>
        <w:rPr>
          <w:bCs/>
          <w:color w:val="111111"/>
          <w:kern w:val="36"/>
          <w:szCs w:val="21"/>
        </w:rPr>
        <w:t>运输工具应清洁、干燥、无异味，运输时应防雨、防潮</w:t>
      </w:r>
      <w:r>
        <w:rPr>
          <w:rFonts w:hint="eastAsia"/>
          <w:bCs/>
          <w:color w:val="111111"/>
          <w:kern w:val="36"/>
          <w:szCs w:val="21"/>
        </w:rPr>
        <w:t>、防暴晒</w:t>
      </w:r>
      <w:r>
        <w:rPr>
          <w:bCs/>
          <w:color w:val="111111"/>
          <w:kern w:val="36"/>
          <w:szCs w:val="21"/>
        </w:rPr>
        <w:t>，严禁与有毒、有异味、易污染的物品混装、混运。</w:t>
      </w:r>
    </w:p>
    <w:p>
      <w:pPr>
        <w:spacing w:line="480" w:lineRule="auto"/>
        <w:rPr>
          <w:rFonts w:ascii="黑体" w:eastAsia="黑体"/>
          <w:bCs/>
          <w:color w:val="111111"/>
          <w:kern w:val="36"/>
          <w:szCs w:val="21"/>
        </w:rPr>
      </w:pPr>
      <w:r>
        <w:rPr>
          <w:rFonts w:hint="eastAsia" w:ascii="黑体" w:eastAsia="黑体"/>
          <w:bCs/>
          <w:color w:val="111111"/>
          <w:kern w:val="36"/>
          <w:szCs w:val="21"/>
        </w:rPr>
        <w:t>8.4  贮存</w:t>
      </w:r>
    </w:p>
    <w:p>
      <w:pPr>
        <w:spacing w:line="240" w:lineRule="atLeast"/>
        <w:ind w:firstLine="420" w:firstLineChars="200"/>
        <w:rPr>
          <w:rFonts w:hint="eastAsia"/>
        </w:rPr>
      </w:pPr>
      <w:r>
        <w:rPr>
          <w:bCs/>
          <w:color w:val="111111"/>
          <w:kern w:val="36"/>
          <w:szCs w:val="21"/>
        </w:rPr>
        <w:t>产品应贮存于清洁、阴凉、干燥、</w:t>
      </w:r>
      <w:r>
        <w:rPr>
          <w:rFonts w:hint="eastAsia"/>
          <w:bCs/>
          <w:color w:val="111111"/>
          <w:kern w:val="36"/>
          <w:szCs w:val="21"/>
        </w:rPr>
        <w:t>不应与可能对产品造成污染的物品混存。防止雨淋、受潮，产品存放应隔墙离地。</w:t>
      </w:r>
    </w:p>
    <w:p>
      <w:pPr>
        <w:pStyle w:val="125"/>
        <w:framePr/>
        <w:rPr>
          <w:rFonts w:hint="eastAsia"/>
        </w:rPr>
      </w:pPr>
      <w:r>
        <w:t>_________________________________</w:t>
      </w:r>
    </w:p>
    <w:sectPr>
      <w:headerReference r:id="rId3" w:type="default"/>
      <w:footerReference r:id="rId4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D</w:t>
    </w:r>
    <w:r>
      <w:rPr>
        <w:rFonts w:hint="eastAsia"/>
      </w:rPr>
      <w:t>BS63</w:t>
    </w:r>
    <w:r>
      <w:t xml:space="preserve">/ </w:t>
    </w:r>
    <w:r>
      <w:rPr>
        <w:rFonts w:hint="eastAsia"/>
      </w:rPr>
      <w:t>0001</w:t>
    </w:r>
    <w:r>
      <w:t>—</w:t>
    </w:r>
    <w:r>
      <w:rPr>
        <w:rFonts w:hint="eastAsia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7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44"/>
    <w:rsid w:val="00000244"/>
    <w:rsid w:val="0000185F"/>
    <w:rsid w:val="0000586F"/>
    <w:rsid w:val="00011731"/>
    <w:rsid w:val="00013D86"/>
    <w:rsid w:val="00013E02"/>
    <w:rsid w:val="00017A76"/>
    <w:rsid w:val="0002143C"/>
    <w:rsid w:val="00025A65"/>
    <w:rsid w:val="00025BB8"/>
    <w:rsid w:val="00026C31"/>
    <w:rsid w:val="00027280"/>
    <w:rsid w:val="000320A7"/>
    <w:rsid w:val="00034FFD"/>
    <w:rsid w:val="00035925"/>
    <w:rsid w:val="0004582E"/>
    <w:rsid w:val="0005493B"/>
    <w:rsid w:val="00067CDF"/>
    <w:rsid w:val="00074FBE"/>
    <w:rsid w:val="00083A09"/>
    <w:rsid w:val="0009005E"/>
    <w:rsid w:val="00092857"/>
    <w:rsid w:val="000A20A9"/>
    <w:rsid w:val="000A2409"/>
    <w:rsid w:val="000A48B1"/>
    <w:rsid w:val="000B3143"/>
    <w:rsid w:val="000C6B05"/>
    <w:rsid w:val="000C6DD6"/>
    <w:rsid w:val="000C73D4"/>
    <w:rsid w:val="000D3D4C"/>
    <w:rsid w:val="000D4F51"/>
    <w:rsid w:val="000D6FFA"/>
    <w:rsid w:val="000D718B"/>
    <w:rsid w:val="000E0C46"/>
    <w:rsid w:val="000E3DA0"/>
    <w:rsid w:val="000F030C"/>
    <w:rsid w:val="000F129C"/>
    <w:rsid w:val="001056DE"/>
    <w:rsid w:val="001124C0"/>
    <w:rsid w:val="00117C8E"/>
    <w:rsid w:val="0013175F"/>
    <w:rsid w:val="00133B75"/>
    <w:rsid w:val="001358FE"/>
    <w:rsid w:val="001512B4"/>
    <w:rsid w:val="00156539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096"/>
    <w:rsid w:val="00192680"/>
    <w:rsid w:val="00193037"/>
    <w:rsid w:val="00193A2C"/>
    <w:rsid w:val="001A15F0"/>
    <w:rsid w:val="001A288E"/>
    <w:rsid w:val="001A548B"/>
    <w:rsid w:val="001B5EC5"/>
    <w:rsid w:val="001B6DC2"/>
    <w:rsid w:val="001C10EB"/>
    <w:rsid w:val="001C149C"/>
    <w:rsid w:val="001C21AC"/>
    <w:rsid w:val="001C47BA"/>
    <w:rsid w:val="001C59EA"/>
    <w:rsid w:val="001C69AE"/>
    <w:rsid w:val="001D406C"/>
    <w:rsid w:val="001D41EE"/>
    <w:rsid w:val="001E0380"/>
    <w:rsid w:val="001E13B1"/>
    <w:rsid w:val="001E74D1"/>
    <w:rsid w:val="001F3A19"/>
    <w:rsid w:val="001F44BC"/>
    <w:rsid w:val="00234467"/>
    <w:rsid w:val="00237D8D"/>
    <w:rsid w:val="00241DA2"/>
    <w:rsid w:val="00242376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13BDB"/>
    <w:rsid w:val="00325926"/>
    <w:rsid w:val="00327A8A"/>
    <w:rsid w:val="00336610"/>
    <w:rsid w:val="00343F73"/>
    <w:rsid w:val="00345060"/>
    <w:rsid w:val="003461EC"/>
    <w:rsid w:val="0035323B"/>
    <w:rsid w:val="003609D2"/>
    <w:rsid w:val="00363F22"/>
    <w:rsid w:val="00366B63"/>
    <w:rsid w:val="00375564"/>
    <w:rsid w:val="00383191"/>
    <w:rsid w:val="00386DED"/>
    <w:rsid w:val="003912E7"/>
    <w:rsid w:val="00393947"/>
    <w:rsid w:val="003A0859"/>
    <w:rsid w:val="003A2275"/>
    <w:rsid w:val="003A6A4F"/>
    <w:rsid w:val="003A7088"/>
    <w:rsid w:val="003B00DF"/>
    <w:rsid w:val="003B1275"/>
    <w:rsid w:val="003B1778"/>
    <w:rsid w:val="003C11CB"/>
    <w:rsid w:val="003C65C9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33682"/>
    <w:rsid w:val="00446B29"/>
    <w:rsid w:val="00453F9A"/>
    <w:rsid w:val="004627AE"/>
    <w:rsid w:val="004717EA"/>
    <w:rsid w:val="00471E91"/>
    <w:rsid w:val="00474675"/>
    <w:rsid w:val="0047470C"/>
    <w:rsid w:val="004A35F9"/>
    <w:rsid w:val="004B1F42"/>
    <w:rsid w:val="004B24C1"/>
    <w:rsid w:val="004C292F"/>
    <w:rsid w:val="004F73BB"/>
    <w:rsid w:val="00510280"/>
    <w:rsid w:val="00513D73"/>
    <w:rsid w:val="00514A43"/>
    <w:rsid w:val="005174E5"/>
    <w:rsid w:val="00520981"/>
    <w:rsid w:val="00522393"/>
    <w:rsid w:val="00522620"/>
    <w:rsid w:val="00525656"/>
    <w:rsid w:val="00534C02"/>
    <w:rsid w:val="00537144"/>
    <w:rsid w:val="00540F73"/>
    <w:rsid w:val="0054264B"/>
    <w:rsid w:val="00543786"/>
    <w:rsid w:val="005533D7"/>
    <w:rsid w:val="0055446A"/>
    <w:rsid w:val="0056116A"/>
    <w:rsid w:val="005703DE"/>
    <w:rsid w:val="00570993"/>
    <w:rsid w:val="0057773B"/>
    <w:rsid w:val="0058464E"/>
    <w:rsid w:val="005A01CB"/>
    <w:rsid w:val="005A58FF"/>
    <w:rsid w:val="005A5EAF"/>
    <w:rsid w:val="005A64C0"/>
    <w:rsid w:val="005B3C11"/>
    <w:rsid w:val="005B5CB6"/>
    <w:rsid w:val="005C131F"/>
    <w:rsid w:val="005C1C28"/>
    <w:rsid w:val="005C6DB5"/>
    <w:rsid w:val="005D0483"/>
    <w:rsid w:val="005E19E7"/>
    <w:rsid w:val="005E2D05"/>
    <w:rsid w:val="00605237"/>
    <w:rsid w:val="0061716C"/>
    <w:rsid w:val="006243A1"/>
    <w:rsid w:val="00632E56"/>
    <w:rsid w:val="00635CBA"/>
    <w:rsid w:val="00642D36"/>
    <w:rsid w:val="0064338B"/>
    <w:rsid w:val="00646542"/>
    <w:rsid w:val="006504F4"/>
    <w:rsid w:val="00654BC9"/>
    <w:rsid w:val="006552FD"/>
    <w:rsid w:val="00663AF3"/>
    <w:rsid w:val="00666B6C"/>
    <w:rsid w:val="00671D65"/>
    <w:rsid w:val="00682682"/>
    <w:rsid w:val="00682702"/>
    <w:rsid w:val="00692368"/>
    <w:rsid w:val="006A1E81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0F86"/>
    <w:rsid w:val="006E3675"/>
    <w:rsid w:val="006E4A7F"/>
    <w:rsid w:val="006E6654"/>
    <w:rsid w:val="006E714F"/>
    <w:rsid w:val="006E7581"/>
    <w:rsid w:val="006F55B2"/>
    <w:rsid w:val="00704DF6"/>
    <w:rsid w:val="0070651C"/>
    <w:rsid w:val="00712333"/>
    <w:rsid w:val="007132A3"/>
    <w:rsid w:val="00716421"/>
    <w:rsid w:val="00724729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80BE4"/>
    <w:rsid w:val="007913AB"/>
    <w:rsid w:val="007914F7"/>
    <w:rsid w:val="007A5AEA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02F1"/>
    <w:rsid w:val="00817A00"/>
    <w:rsid w:val="00824A66"/>
    <w:rsid w:val="00835DB3"/>
    <w:rsid w:val="0083617B"/>
    <w:rsid w:val="008371BD"/>
    <w:rsid w:val="008504A8"/>
    <w:rsid w:val="0085282E"/>
    <w:rsid w:val="0087198C"/>
    <w:rsid w:val="00872C1F"/>
    <w:rsid w:val="00873B42"/>
    <w:rsid w:val="00873DD2"/>
    <w:rsid w:val="00882A65"/>
    <w:rsid w:val="008856D8"/>
    <w:rsid w:val="00892E82"/>
    <w:rsid w:val="008B392E"/>
    <w:rsid w:val="008C1B58"/>
    <w:rsid w:val="008C39AE"/>
    <w:rsid w:val="008C48B8"/>
    <w:rsid w:val="008C590D"/>
    <w:rsid w:val="008E031B"/>
    <w:rsid w:val="008E4E63"/>
    <w:rsid w:val="008E7029"/>
    <w:rsid w:val="008E7403"/>
    <w:rsid w:val="008E7EF6"/>
    <w:rsid w:val="008F1F98"/>
    <w:rsid w:val="008F6758"/>
    <w:rsid w:val="008F7A13"/>
    <w:rsid w:val="009000E1"/>
    <w:rsid w:val="009040DD"/>
    <w:rsid w:val="00905B47"/>
    <w:rsid w:val="009103B5"/>
    <w:rsid w:val="0091331C"/>
    <w:rsid w:val="009138C5"/>
    <w:rsid w:val="009207AF"/>
    <w:rsid w:val="00921694"/>
    <w:rsid w:val="009279DE"/>
    <w:rsid w:val="00930116"/>
    <w:rsid w:val="0094212C"/>
    <w:rsid w:val="00954689"/>
    <w:rsid w:val="00957AA2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1DDA"/>
    <w:rsid w:val="009B2ADB"/>
    <w:rsid w:val="009B603A"/>
    <w:rsid w:val="009C2D0E"/>
    <w:rsid w:val="009C3DAC"/>
    <w:rsid w:val="009C42E0"/>
    <w:rsid w:val="009C62DA"/>
    <w:rsid w:val="009D11C3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14D6"/>
    <w:rsid w:val="00A4307A"/>
    <w:rsid w:val="00A434D9"/>
    <w:rsid w:val="00A45ADB"/>
    <w:rsid w:val="00A47EBB"/>
    <w:rsid w:val="00A51CDD"/>
    <w:rsid w:val="00A52634"/>
    <w:rsid w:val="00A6730D"/>
    <w:rsid w:val="00A71625"/>
    <w:rsid w:val="00A71B9B"/>
    <w:rsid w:val="00A729AD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03B9"/>
    <w:rsid w:val="00B353EB"/>
    <w:rsid w:val="00B439C4"/>
    <w:rsid w:val="00B4535E"/>
    <w:rsid w:val="00B52A8C"/>
    <w:rsid w:val="00B52D58"/>
    <w:rsid w:val="00B636A8"/>
    <w:rsid w:val="00B665C6"/>
    <w:rsid w:val="00B805AF"/>
    <w:rsid w:val="00B860E1"/>
    <w:rsid w:val="00B869EC"/>
    <w:rsid w:val="00B9397A"/>
    <w:rsid w:val="00B94E52"/>
    <w:rsid w:val="00B9633D"/>
    <w:rsid w:val="00BA2EBE"/>
    <w:rsid w:val="00BB0F28"/>
    <w:rsid w:val="00BB458A"/>
    <w:rsid w:val="00BC4244"/>
    <w:rsid w:val="00BC706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39A2"/>
    <w:rsid w:val="00C601D2"/>
    <w:rsid w:val="00C63387"/>
    <w:rsid w:val="00C657AB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E38C3"/>
    <w:rsid w:val="00CE6129"/>
    <w:rsid w:val="00D0337B"/>
    <w:rsid w:val="00D0489E"/>
    <w:rsid w:val="00D079B2"/>
    <w:rsid w:val="00D114E9"/>
    <w:rsid w:val="00D21E4E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21FB"/>
    <w:rsid w:val="00DA3991"/>
    <w:rsid w:val="00DB0E42"/>
    <w:rsid w:val="00DB344C"/>
    <w:rsid w:val="00DB7E6C"/>
    <w:rsid w:val="00DD2B97"/>
    <w:rsid w:val="00DD494D"/>
    <w:rsid w:val="00DD5A29"/>
    <w:rsid w:val="00DD5D9D"/>
    <w:rsid w:val="00DE35CB"/>
    <w:rsid w:val="00DF21E9"/>
    <w:rsid w:val="00E00F14"/>
    <w:rsid w:val="00E06386"/>
    <w:rsid w:val="00E24EB4"/>
    <w:rsid w:val="00E26F1B"/>
    <w:rsid w:val="00E320ED"/>
    <w:rsid w:val="00E33AFB"/>
    <w:rsid w:val="00E34218"/>
    <w:rsid w:val="00E420EE"/>
    <w:rsid w:val="00E46282"/>
    <w:rsid w:val="00E5090B"/>
    <w:rsid w:val="00E5216E"/>
    <w:rsid w:val="00E5682E"/>
    <w:rsid w:val="00E61ADE"/>
    <w:rsid w:val="00E82344"/>
    <w:rsid w:val="00E84C82"/>
    <w:rsid w:val="00E84D64"/>
    <w:rsid w:val="00E87408"/>
    <w:rsid w:val="00E914C4"/>
    <w:rsid w:val="00E934F5"/>
    <w:rsid w:val="00E96961"/>
    <w:rsid w:val="00EA2BFA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17038"/>
    <w:rsid w:val="00F23A75"/>
    <w:rsid w:val="00F30514"/>
    <w:rsid w:val="00F34B99"/>
    <w:rsid w:val="00F362C8"/>
    <w:rsid w:val="00F40AF5"/>
    <w:rsid w:val="00F52DAB"/>
    <w:rsid w:val="00F543F0"/>
    <w:rsid w:val="00F81D29"/>
    <w:rsid w:val="00F91C4D"/>
    <w:rsid w:val="00F92FD9"/>
    <w:rsid w:val="00FA005D"/>
    <w:rsid w:val="00FA6684"/>
    <w:rsid w:val="00FA731E"/>
    <w:rsid w:val="00FB2B38"/>
    <w:rsid w:val="00FC3A1B"/>
    <w:rsid w:val="00FC6358"/>
    <w:rsid w:val="00FD320D"/>
    <w:rsid w:val="00FE23DE"/>
    <w:rsid w:val="00FF3977"/>
    <w:rsid w:val="38B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iPriority w:val="0"/>
  </w:style>
  <w:style w:type="table" w:default="1" w:styleId="2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3"/>
    <w:uiPriority w:val="0"/>
    <w:rPr>
      <w:sz w:val="18"/>
      <w:szCs w:val="18"/>
    </w:rPr>
  </w:style>
  <w:style w:type="paragraph" w:styleId="15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semiHidden/>
    <w:uiPriority w:val="0"/>
    <w:rPr>
      <w:vertAlign w:val="superscript"/>
    </w:rPr>
  </w:style>
  <w:style w:type="character" w:styleId="33">
    <w:name w:val="page number"/>
    <w:uiPriority w:val="0"/>
    <w:rPr>
      <w:rFonts w:ascii="Times New Roman" w:hAnsi="Times New Roman" w:eastAsia="宋体"/>
      <w:sz w:val="18"/>
    </w:rPr>
  </w:style>
  <w:style w:type="character" w:styleId="34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semiHidden/>
    <w:uiPriority w:val="0"/>
    <w:rPr>
      <w:vertAlign w:val="superscript"/>
    </w:rPr>
  </w:style>
  <w:style w:type="character" w:customStyle="1" w:styleId="36">
    <w:name w:val="段 Char"/>
    <w:link w:val="21"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1"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1"/>
    <w:uiPriority w:val="0"/>
    <w:pPr>
      <w:numPr>
        <w:ilvl w:val="2"/>
      </w:numPr>
      <w:spacing w:before="50" w:after="50"/>
      <w:outlineLvl w:val="3"/>
    </w:pPr>
  </w:style>
  <w:style w:type="paragraph" w:customStyle="1" w:styleId="42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1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1"/>
    <w:uiPriority w:val="0"/>
    <w:pPr>
      <w:numPr>
        <w:ilvl w:val="3"/>
      </w:numPr>
      <w:outlineLvl w:val="4"/>
    </w:pPr>
  </w:style>
  <w:style w:type="paragraph" w:customStyle="1" w:styleId="47">
    <w:name w:val="示例"/>
    <w:next w:val="48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1"/>
    <w:uiPriority w:val="0"/>
    <w:pPr>
      <w:numPr>
        <w:ilvl w:val="4"/>
      </w:numPr>
      <w:outlineLvl w:val="5"/>
    </w:pPr>
  </w:style>
  <w:style w:type="paragraph" w:customStyle="1" w:styleId="51">
    <w:name w:val="五级条标题"/>
    <w:basedOn w:val="50"/>
    <w:next w:val="21"/>
    <w:uiPriority w:val="0"/>
    <w:pPr>
      <w:numPr>
        <w:ilvl w:val="5"/>
      </w:numPr>
      <w:outlineLvl w:val="6"/>
    </w:pPr>
  </w:style>
  <w:style w:type="paragraph" w:customStyle="1" w:styleId="52">
    <w:name w:val="注："/>
    <w:next w:val="21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uiPriority w:val="0"/>
    <w:pPr>
      <w:spacing w:beforeLines="0" w:afterLines="0"/>
    </w:pPr>
    <w:rPr>
      <w:rFonts w:ascii="宋体" w:eastAsia="宋体"/>
    </w:rPr>
  </w:style>
  <w:style w:type="paragraph" w:customStyle="1" w:styleId="59">
    <w:name w:val="注：（正文）"/>
    <w:basedOn w:val="52"/>
    <w:next w:val="21"/>
    <w:uiPriority w:val="0"/>
  </w:style>
  <w:style w:type="paragraph" w:customStyle="1" w:styleId="60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uiPriority w:val="0"/>
    <w:pPr>
      <w:jc w:val="left"/>
    </w:pPr>
  </w:style>
  <w:style w:type="paragraph" w:customStyle="1" w:styleId="65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1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uiPriority w:val="0"/>
    <w:pPr>
      <w:framePr/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uiPriority w:val="0"/>
    <w:pPr>
      <w:framePr/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uiPriority w:val="0"/>
    <w:pPr>
      <w:framePr/>
      <w:spacing w:before="180" w:line="180" w:lineRule="exact"/>
    </w:pPr>
    <w:rPr>
      <w:sz w:val="21"/>
    </w:rPr>
  </w:style>
  <w:style w:type="paragraph" w:customStyle="1" w:styleId="78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1"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1"/>
    <w:next w:val="21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1"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1"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1"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5">
    <w:name w:val="附录公式"/>
    <w:basedOn w:val="21"/>
    <w:next w:val="21"/>
    <w:link w:val="86"/>
    <w:qFormat/>
    <w:uiPriority w:val="0"/>
  </w:style>
  <w:style w:type="character" w:customStyle="1" w:styleId="86">
    <w:name w:val="附录公式 Char"/>
    <w:basedOn w:val="36"/>
    <w:link w:val="85"/>
    <w:uiPriority w:val="0"/>
  </w:style>
  <w:style w:type="paragraph" w:customStyle="1" w:styleId="87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1"/>
    <w:uiPriority w:val="0"/>
    <w:pPr>
      <w:numPr>
        <w:ilvl w:val="4"/>
      </w:numPr>
      <w:outlineLvl w:val="4"/>
    </w:pPr>
  </w:style>
  <w:style w:type="paragraph" w:customStyle="1" w:styleId="89">
    <w:name w:val="附录三级无"/>
    <w:basedOn w:val="88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1"/>
    <w:uiPriority w:val="0"/>
    <w:pPr>
      <w:numPr>
        <w:ilvl w:val="5"/>
      </w:numPr>
      <w:outlineLvl w:val="5"/>
    </w:pPr>
  </w:style>
  <w:style w:type="paragraph" w:customStyle="1" w:styleId="92">
    <w:name w:val="附录四级无"/>
    <w:basedOn w:val="91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1"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1"/>
    <w:uiPriority w:val="0"/>
    <w:pPr>
      <w:numPr>
        <w:ilvl w:val="6"/>
      </w:numPr>
      <w:outlineLvl w:val="6"/>
    </w:pPr>
  </w:style>
  <w:style w:type="paragraph" w:customStyle="1" w:styleId="96">
    <w:name w:val="附录五级无"/>
    <w:basedOn w:val="95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章标题"/>
    <w:next w:val="21"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1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99">
    <w:name w:val="附录一级无"/>
    <w:basedOn w:val="98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uiPriority w:val="0"/>
    <w:pPr>
      <w:framePr w:w="6101" w:vAnchor="page" w:hAnchor="page" w:x="4673" w:y="942"/>
    </w:pPr>
    <w:rPr>
      <w:w w:val="130"/>
    </w:rPr>
  </w:style>
  <w:style w:type="paragraph" w:customStyle="1" w:styleId="105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uiPriority w:val="0"/>
    <w:pPr>
      <w:spacing w:beforeLines="0" w:afterLines="0"/>
    </w:pPr>
    <w:rPr>
      <w:rFonts w:ascii="宋体" w:eastAsia="宋体"/>
    </w:rPr>
  </w:style>
  <w:style w:type="paragraph" w:customStyle="1" w:styleId="109">
    <w:name w:val="实施日期"/>
    <w:basedOn w:val="70"/>
    <w:uiPriority w:val="0"/>
    <w:pPr>
      <w:framePr w:vAnchor="page"/>
      <w:jc w:val="right"/>
    </w:pPr>
  </w:style>
  <w:style w:type="paragraph" w:customStyle="1" w:styleId="110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1"/>
    <w:link w:val="112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link w:val="111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15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7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一级无"/>
    <w:basedOn w:val="37"/>
    <w:uiPriority w:val="0"/>
    <w:pPr>
      <w:spacing w:beforeLines="0" w:afterLines="0"/>
    </w:pPr>
    <w:rPr>
      <w:rFonts w:ascii="宋体" w:eastAsia="宋体"/>
    </w:rPr>
  </w:style>
  <w:style w:type="character" w:customStyle="1" w:styleId="121">
    <w:name w:val="访问过的超链接"/>
    <w:uiPriority w:val="0"/>
    <w:rPr>
      <w:color w:val="800080"/>
      <w:u w:val="single"/>
    </w:rPr>
  </w:style>
  <w:style w:type="paragraph" w:customStyle="1" w:styleId="122">
    <w:name w:val="正文表标题"/>
    <w:next w:val="21"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0"/>
    <w:uiPriority w:val="0"/>
    <w:pPr>
      <w:framePr w:vAnchor="page" w:x="1419"/>
    </w:pPr>
  </w:style>
  <w:style w:type="paragraph" w:customStyle="1" w:styleId="127">
    <w:name w:val="其他实施日期"/>
    <w:basedOn w:val="109"/>
    <w:uiPriority w:val="0"/>
    <w:pPr>
      <w:framePr/>
    </w:pPr>
  </w:style>
  <w:style w:type="paragraph" w:customStyle="1" w:styleId="128">
    <w:name w:val="封面标准名称2"/>
    <w:basedOn w:val="73"/>
    <w:uiPriority w:val="0"/>
    <w:pPr>
      <w:framePr w:y="4469"/>
      <w:spacing w:beforeLines="630"/>
    </w:pPr>
  </w:style>
  <w:style w:type="paragraph" w:customStyle="1" w:styleId="129">
    <w:name w:val="封面标准英文名称2"/>
    <w:basedOn w:val="74"/>
    <w:uiPriority w:val="0"/>
    <w:pPr>
      <w:framePr w:y="4469"/>
    </w:pPr>
  </w:style>
  <w:style w:type="paragraph" w:customStyle="1" w:styleId="130">
    <w:name w:val="封面一致性程度标识2"/>
    <w:basedOn w:val="75"/>
    <w:uiPriority w:val="0"/>
    <w:pPr>
      <w:framePr w:y="4469"/>
    </w:pPr>
  </w:style>
  <w:style w:type="paragraph" w:customStyle="1" w:styleId="131">
    <w:name w:val="封面标准文稿类别2"/>
    <w:basedOn w:val="76"/>
    <w:uiPriority w:val="0"/>
    <w:pPr>
      <w:framePr w:y="4469"/>
    </w:pPr>
  </w:style>
  <w:style w:type="paragraph" w:customStyle="1" w:styleId="132">
    <w:name w:val="封面标准文稿编辑信息2"/>
    <w:basedOn w:val="77"/>
    <w:uiPriority w:val="0"/>
    <w:pPr>
      <w:framePr w:y="4469"/>
    </w:pPr>
  </w:style>
  <w:style w:type="character" w:customStyle="1" w:styleId="133">
    <w:name w:val="批注框文本 Char"/>
    <w:link w:val="1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2298;&#33590;&#21345;&#30416;&#12299;DBS63-2019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D287F-430B-48F7-A36E-A521AC7B7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《茶卡盐》DBS63-2019.dot</Template>
  <Pages>9</Pages>
  <Words>749</Words>
  <Characters>4272</Characters>
  <Lines>35</Lines>
  <Paragraphs>10</Paragraphs>
  <TotalTime>1</TotalTime>
  <ScaleCrop>false</ScaleCrop>
  <LinksUpToDate>false</LinksUpToDate>
  <CharactersWithSpaces>5011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2021-02-24T10:03:00Z</dcterms:created>
  <dcterms:modified xsi:type="dcterms:W3CDTF">2021-02-26T01:23:02Z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